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18AC" w14:textId="77777777" w:rsidR="00F337BE" w:rsidRDefault="00F337BE" w:rsidP="00F33BDF">
      <w:pPr>
        <w:spacing w:after="0" w:line="259" w:lineRule="auto"/>
        <w:ind w:left="0" w:right="10466" w:firstLine="0"/>
      </w:pPr>
    </w:p>
    <w:p w14:paraId="08F85F38" w14:textId="77777777" w:rsidR="00FA65BA" w:rsidRDefault="00FA65BA">
      <w:pPr>
        <w:spacing w:after="132" w:line="259" w:lineRule="auto"/>
        <w:ind w:left="2547" w:right="0"/>
        <w:rPr>
          <w:b/>
        </w:rPr>
      </w:pPr>
    </w:p>
    <w:p w14:paraId="3B69ADED" w14:textId="77777777" w:rsidR="00FA65BA" w:rsidRPr="00FA65BA" w:rsidRDefault="00FA65BA">
      <w:pPr>
        <w:spacing w:after="132" w:line="259" w:lineRule="auto"/>
        <w:ind w:left="2547" w:right="0"/>
        <w:rPr>
          <w:b/>
          <w:sz w:val="82"/>
          <w:szCs w:val="82"/>
        </w:rPr>
      </w:pPr>
      <w:r w:rsidRPr="00FA65BA">
        <w:rPr>
          <w:b/>
          <w:sz w:val="82"/>
          <w:szCs w:val="82"/>
        </w:rPr>
        <w:t>Accounting</w:t>
      </w:r>
    </w:p>
    <w:p w14:paraId="60423AFB" w14:textId="77777777" w:rsidR="00FA65BA" w:rsidRDefault="00FA65BA">
      <w:pPr>
        <w:spacing w:after="132" w:line="259" w:lineRule="auto"/>
        <w:ind w:left="2547" w:right="0"/>
        <w:rPr>
          <w:b/>
          <w:sz w:val="46"/>
          <w:szCs w:val="46"/>
        </w:rPr>
      </w:pPr>
    </w:p>
    <w:p w14:paraId="3C4B3568" w14:textId="42059283" w:rsidR="00FA65BA" w:rsidRPr="00FA65BA" w:rsidRDefault="00FA65BA" w:rsidP="00DF3F1C">
      <w:pPr>
        <w:spacing w:after="132" w:line="259" w:lineRule="auto"/>
        <w:ind w:left="2547" w:right="0"/>
        <w:rPr>
          <w:b/>
          <w:sz w:val="60"/>
          <w:szCs w:val="60"/>
        </w:rPr>
      </w:pPr>
      <w:r w:rsidRPr="00FA65BA">
        <w:rPr>
          <w:b/>
          <w:sz w:val="60"/>
          <w:szCs w:val="60"/>
        </w:rPr>
        <w:t>IAL</w:t>
      </w:r>
      <w:r w:rsidR="00DF3F1C">
        <w:rPr>
          <w:b/>
          <w:sz w:val="60"/>
          <w:szCs w:val="60"/>
        </w:rPr>
        <w:t xml:space="preserve"> </w:t>
      </w:r>
      <w:r w:rsidR="00107FDA">
        <w:rPr>
          <w:b/>
          <w:sz w:val="60"/>
          <w:szCs w:val="60"/>
        </w:rPr>
        <w:t>Year</w:t>
      </w:r>
      <w:r w:rsidRPr="00FA65BA">
        <w:rPr>
          <w:b/>
          <w:sz w:val="60"/>
          <w:szCs w:val="60"/>
        </w:rPr>
        <w:t xml:space="preserve"> 13</w:t>
      </w:r>
    </w:p>
    <w:p w14:paraId="2C4CB93D" w14:textId="068EB5FF" w:rsidR="00FA65BA" w:rsidRPr="00FA65BA" w:rsidRDefault="00DF3F1C">
      <w:pPr>
        <w:spacing w:after="132" w:line="259" w:lineRule="auto"/>
        <w:ind w:left="2547" w:right="0"/>
        <w:rPr>
          <w:b/>
          <w:sz w:val="46"/>
          <w:szCs w:val="46"/>
        </w:rPr>
      </w:pPr>
      <w:r>
        <w:rPr>
          <w:b/>
          <w:sz w:val="46"/>
          <w:szCs w:val="46"/>
        </w:rPr>
        <w:t>2</w:t>
      </w:r>
      <w:r w:rsidRPr="00DF3F1C">
        <w:rPr>
          <w:b/>
          <w:sz w:val="46"/>
          <w:szCs w:val="46"/>
          <w:vertAlign w:val="superscript"/>
        </w:rPr>
        <w:t>nd</w:t>
      </w:r>
      <w:r>
        <w:rPr>
          <w:b/>
          <w:sz w:val="46"/>
          <w:szCs w:val="46"/>
        </w:rPr>
        <w:t xml:space="preserve"> Term SOW</w:t>
      </w:r>
    </w:p>
    <w:p w14:paraId="1CB3E545" w14:textId="77777777" w:rsidR="00F33BDF" w:rsidRDefault="00F33BDF">
      <w:pPr>
        <w:pStyle w:val="Heading3"/>
        <w:spacing w:after="9"/>
        <w:ind w:left="10"/>
      </w:pPr>
    </w:p>
    <w:p w14:paraId="3C6F5624" w14:textId="77777777" w:rsidR="007A31C4" w:rsidRDefault="007A31C4">
      <w:pPr>
        <w:spacing w:after="160" w:line="259" w:lineRule="auto"/>
        <w:ind w:left="0" w:right="0" w:firstLine="0"/>
        <w:rPr>
          <w:b/>
          <w:sz w:val="26"/>
        </w:rPr>
      </w:pPr>
      <w:r>
        <w:br w:type="page"/>
      </w:r>
    </w:p>
    <w:p w14:paraId="44F910B6" w14:textId="188BE29D" w:rsidR="0002104C" w:rsidRDefault="00F33BDF" w:rsidP="00DF3F1C">
      <w:pPr>
        <w:pStyle w:val="Heading3"/>
        <w:spacing w:after="9"/>
        <w:ind w:left="10"/>
      </w:pPr>
      <w:r>
        <w:lastRenderedPageBreak/>
        <w:t xml:space="preserve">Unit 2: Corporate and Management Accounting </w:t>
      </w:r>
    </w:p>
    <w:p w14:paraId="22030071" w14:textId="77777777" w:rsidR="00F337BE" w:rsidRDefault="00F337BE">
      <w:pPr>
        <w:spacing w:after="0" w:line="259" w:lineRule="auto"/>
        <w:ind w:left="-992" w:right="10906" w:firstLine="0"/>
      </w:pPr>
    </w:p>
    <w:tbl>
      <w:tblPr>
        <w:tblStyle w:val="TableGrid"/>
        <w:tblW w:w="10206" w:type="dxa"/>
        <w:tblInd w:w="5" w:type="dxa"/>
        <w:tblLayout w:type="fixed"/>
        <w:tblCellMar>
          <w:top w:w="46" w:type="dxa"/>
          <w:left w:w="113" w:type="dxa"/>
          <w:right w:w="107" w:type="dxa"/>
        </w:tblCellMar>
        <w:tblLook w:val="04A0" w:firstRow="1" w:lastRow="0" w:firstColumn="1" w:lastColumn="0" w:noHBand="0" w:noVBand="1"/>
      </w:tblPr>
      <w:tblGrid>
        <w:gridCol w:w="751"/>
        <w:gridCol w:w="2764"/>
        <w:gridCol w:w="3396"/>
        <w:gridCol w:w="3295"/>
      </w:tblGrid>
      <w:tr w:rsidR="00D95B0E" w14:paraId="6635C2AD" w14:textId="77777777" w:rsidTr="00DF3F1C">
        <w:trPr>
          <w:trHeight w:val="1094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6834BF39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3208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A98D52F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Week 1</w:t>
            </w:r>
          </w:p>
          <w:p w14:paraId="64373FFE" w14:textId="77777777" w:rsidR="00D95B0E" w:rsidRDefault="00D95B0E">
            <w:pPr>
              <w:spacing w:after="0" w:line="259" w:lineRule="auto"/>
              <w:ind w:left="0" w:right="0" w:firstLine="0"/>
            </w:pPr>
          </w:p>
        </w:tc>
        <w:tc>
          <w:tcPr>
            <w:tcW w:w="3952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369EDDE6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07B3863E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Budgeting (1)</w:t>
            </w:r>
          </w:p>
        </w:tc>
        <w:tc>
          <w:tcPr>
            <w:tcW w:w="3833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0D31A928" w14:textId="77777777" w:rsidR="00D95B0E" w:rsidRDefault="00D95B0E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45331296" w14:textId="77777777" w:rsidR="00D95B0E" w:rsidRDefault="00D95B0E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 understand Role of budgeting as a management tool. </w:t>
            </w:r>
          </w:p>
          <w:p w14:paraId="535CE107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Budget preparation. </w:t>
            </w:r>
          </w:p>
          <w:p w14:paraId="2D31AFE6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Budgets for revenue, production, purchases and inventory</w:t>
            </w:r>
          </w:p>
        </w:tc>
      </w:tr>
      <w:tr w:rsidR="00D95B0E" w14:paraId="63DC28FA" w14:textId="77777777" w:rsidTr="00DF3F1C">
        <w:trPr>
          <w:trHeight w:val="3189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377A4290" w14:textId="77777777" w:rsidR="00D95B0E" w:rsidRDefault="00D95B0E">
            <w:pPr>
              <w:spacing w:after="0" w:line="251" w:lineRule="auto"/>
              <w:ind w:left="0" w:right="643" w:firstLine="0"/>
              <w:rPr>
                <w:b/>
                <w:sz w:val="20"/>
              </w:rPr>
            </w:pPr>
            <w:bookmarkStart w:id="0" w:name="_GoBack" w:colFirst="1" w:colLast="1"/>
          </w:p>
          <w:p w14:paraId="68584E60" w14:textId="77777777" w:rsidR="00D95B0E" w:rsidRDefault="00D95B0E">
            <w:pPr>
              <w:spacing w:after="0" w:line="251" w:lineRule="auto"/>
              <w:ind w:left="0" w:right="6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Ja</w:t>
            </w:r>
          </w:p>
          <w:p w14:paraId="1EC39E55" w14:textId="77777777" w:rsidR="00D95B0E" w:rsidRDefault="00D95B0E">
            <w:pPr>
              <w:spacing w:after="0" w:line="251" w:lineRule="auto"/>
              <w:ind w:left="0" w:right="6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14:paraId="519DD41B" w14:textId="77777777" w:rsidR="00D95B0E" w:rsidRDefault="00D95B0E">
            <w:pPr>
              <w:spacing w:after="0" w:line="251" w:lineRule="auto"/>
              <w:ind w:left="0" w:right="64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2021</w:t>
            </w:r>
          </w:p>
        </w:tc>
        <w:tc>
          <w:tcPr>
            <w:tcW w:w="10993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2EDEF69D" w14:textId="77777777" w:rsidR="00D95B0E" w:rsidRDefault="00D95B0E">
            <w:pPr>
              <w:spacing w:after="0" w:line="251" w:lineRule="auto"/>
              <w:ind w:left="0" w:right="643" w:firstLine="0"/>
            </w:pPr>
            <w:r>
              <w:rPr>
                <w:b/>
                <w:sz w:val="20"/>
              </w:rPr>
              <w:t xml:space="preserve">Aim: Students to understand budgeting as a management tool, and the preparation of budgets for revenue, production, purchases and inventory </w:t>
            </w:r>
            <w:r>
              <w:rPr>
                <w:b/>
                <w:sz w:val="19"/>
              </w:rPr>
              <w:t xml:space="preserve">Topics covered: </w:t>
            </w:r>
          </w:p>
          <w:p w14:paraId="3AA7A09B" w14:textId="77777777" w:rsidR="00D95B0E" w:rsidRDefault="00D95B0E">
            <w:pPr>
              <w:tabs>
                <w:tab w:val="center" w:pos="122"/>
                <w:tab w:val="center" w:pos="871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2.4 </w:t>
            </w:r>
            <w:r>
              <w:rPr>
                <w:b/>
                <w:sz w:val="19"/>
              </w:rPr>
              <w:tab/>
              <w:t xml:space="preserve">Budgeting  </w:t>
            </w:r>
          </w:p>
          <w:p w14:paraId="4BC91D4B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2.4.1 Role of budgeting as a management tool </w:t>
            </w:r>
          </w:p>
          <w:p w14:paraId="7D75AEEB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2.4.2 Budget preparation </w:t>
            </w:r>
          </w:p>
          <w:p w14:paraId="26C4640F" w14:textId="77777777" w:rsidR="00D95B0E" w:rsidRDefault="00D95B0E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>2.4.3 Budgets for revenue, production, purchases and inventory</w:t>
            </w:r>
          </w:p>
          <w:p w14:paraId="573F627F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35B2942E" w14:textId="77777777" w:rsidR="00D95B0E" w:rsidRDefault="00D95B0E" w:rsidP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Use of the following past papers January 2014 Q4 (b) June 2014 Q4 (d)</w:t>
            </w:r>
          </w:p>
          <w:p w14:paraId="1EEB6DB9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48DD10D9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Needs to be able to evaluate budgeting as a management tool </w:t>
            </w:r>
          </w:p>
        </w:tc>
      </w:tr>
      <w:bookmarkEnd w:id="0"/>
      <w:tr w:rsidR="00D95B0E" w14:paraId="551D05F6" w14:textId="77777777" w:rsidTr="00DF3F1C">
        <w:trPr>
          <w:trHeight w:val="619"/>
        </w:trPr>
        <w:tc>
          <w:tcPr>
            <w:tcW w:w="841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101CD7FD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3208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3D96BE3B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Week 2</w:t>
            </w:r>
          </w:p>
          <w:p w14:paraId="5B0CB58C" w14:textId="77777777" w:rsidR="00D95B0E" w:rsidRDefault="00D95B0E">
            <w:pPr>
              <w:spacing w:after="0" w:line="259" w:lineRule="auto"/>
              <w:ind w:left="0" w:right="0" w:firstLine="0"/>
            </w:pPr>
          </w:p>
        </w:tc>
        <w:tc>
          <w:tcPr>
            <w:tcW w:w="3952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119DAD14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69059D59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Budgeting (2)</w:t>
            </w:r>
          </w:p>
        </w:tc>
        <w:tc>
          <w:tcPr>
            <w:tcW w:w="3833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17724B4E" w14:textId="77777777" w:rsidR="00D95B0E" w:rsidRDefault="00D95B0E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16BFBF5D" w14:textId="77777777" w:rsidR="00D95B0E" w:rsidRDefault="00D95B0E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To understand Budgets for trade receivables, trade payables, capital and cash</w:t>
            </w:r>
          </w:p>
        </w:tc>
      </w:tr>
      <w:tr w:rsidR="00D95B0E" w14:paraId="1ADD5434" w14:textId="77777777" w:rsidTr="00DF3F1C">
        <w:trPr>
          <w:trHeight w:val="2309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557A8A87" w14:textId="77777777" w:rsidR="00D95B0E" w:rsidRDefault="00D95B0E">
            <w:pPr>
              <w:spacing w:after="13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10993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592146EA" w14:textId="77777777" w:rsidR="00D95B0E" w:rsidRDefault="00D95B0E">
            <w:pPr>
              <w:spacing w:after="13" w:line="259" w:lineRule="auto"/>
              <w:ind w:left="0" w:right="0" w:firstLine="0"/>
            </w:pPr>
            <w:r>
              <w:rPr>
                <w:b/>
                <w:sz w:val="20"/>
              </w:rPr>
              <w:t xml:space="preserve">Aim: Students to understand budgets for trade receivables, trade payables, capital and cash </w:t>
            </w:r>
          </w:p>
          <w:p w14:paraId="6CAA7218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Topics covered: </w:t>
            </w:r>
          </w:p>
          <w:p w14:paraId="61E802EB" w14:textId="77777777" w:rsidR="00D95B0E" w:rsidRDefault="00D95B0E">
            <w:pPr>
              <w:tabs>
                <w:tab w:val="center" w:pos="122"/>
                <w:tab w:val="center" w:pos="871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2.4 </w:t>
            </w:r>
            <w:r>
              <w:rPr>
                <w:b/>
                <w:sz w:val="19"/>
              </w:rPr>
              <w:tab/>
              <w:t xml:space="preserve">Budgeting  </w:t>
            </w:r>
          </w:p>
          <w:p w14:paraId="1CC4E97C" w14:textId="77777777" w:rsidR="00D95B0E" w:rsidRDefault="00D95B0E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>2.4.3 Budgets for trade receivables, trade payables, capital and cash</w:t>
            </w:r>
          </w:p>
          <w:p w14:paraId="493DF40B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68C81419" w14:textId="77777777" w:rsidR="00D95B0E" w:rsidRDefault="00D95B0E">
            <w:pPr>
              <w:spacing w:after="57" w:line="228" w:lineRule="auto"/>
              <w:ind w:left="0" w:right="6513" w:firstLine="0"/>
            </w:pPr>
            <w:r>
              <w:rPr>
                <w:sz w:val="19"/>
              </w:rPr>
              <w:t>Use of the following past papers January 2014 Q4 (a) (c) and (d)</w:t>
            </w:r>
          </w:p>
          <w:p w14:paraId="5EB7F592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5254D0DB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Students need to evaluate the projected position of the business after drawing up the budgets.  </w:t>
            </w:r>
          </w:p>
        </w:tc>
      </w:tr>
      <w:tr w:rsidR="00D95B0E" w14:paraId="538E4E1C" w14:textId="77777777" w:rsidTr="00DF3F1C">
        <w:trPr>
          <w:trHeight w:val="2309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37F3FEEC" w14:textId="77777777" w:rsidR="00D95B0E" w:rsidRDefault="00D95B0E">
            <w:pPr>
              <w:spacing w:after="13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10993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268767C5" w14:textId="77777777" w:rsidR="00D95B0E" w:rsidRDefault="00D95B0E">
            <w:pPr>
              <w:spacing w:after="13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Week 3 &amp; 4</w:t>
            </w:r>
          </w:p>
          <w:p w14:paraId="33A4C7B6" w14:textId="77777777" w:rsidR="00D95B0E" w:rsidRDefault="00D95B0E">
            <w:pPr>
              <w:spacing w:after="13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MYA</w:t>
            </w:r>
          </w:p>
        </w:tc>
      </w:tr>
      <w:tr w:rsidR="00D95B0E" w14:paraId="7D2ED38C" w14:textId="77777777" w:rsidTr="00DF3F1C">
        <w:trPr>
          <w:trHeight w:val="859"/>
        </w:trPr>
        <w:tc>
          <w:tcPr>
            <w:tcW w:w="841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15575C78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Feb</w:t>
            </w:r>
          </w:p>
        </w:tc>
        <w:tc>
          <w:tcPr>
            <w:tcW w:w="3208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53832855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Week 5</w:t>
            </w:r>
          </w:p>
          <w:p w14:paraId="69AF1C51" w14:textId="77777777" w:rsidR="00D95B0E" w:rsidRDefault="00D95B0E">
            <w:pPr>
              <w:spacing w:after="0" w:line="259" w:lineRule="auto"/>
              <w:ind w:left="0" w:right="0" w:firstLine="0"/>
            </w:pPr>
          </w:p>
        </w:tc>
        <w:tc>
          <w:tcPr>
            <w:tcW w:w="3952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7DDE4EA7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547C46D7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Budgeting (3)</w:t>
            </w:r>
          </w:p>
        </w:tc>
        <w:tc>
          <w:tcPr>
            <w:tcW w:w="3833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3EB68EC8" w14:textId="77777777" w:rsidR="00D95B0E" w:rsidRDefault="00D95B0E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7C905EFA" w14:textId="77777777" w:rsidR="00D95B0E" w:rsidRDefault="00D95B0E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 understand Flexible budgets.  </w:t>
            </w:r>
          </w:p>
          <w:p w14:paraId="4998923C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Budgeted Statement of comprehensive income and statement of financial position.</w:t>
            </w:r>
          </w:p>
        </w:tc>
      </w:tr>
      <w:tr w:rsidR="00D95B0E" w14:paraId="4F81D813" w14:textId="77777777" w:rsidTr="00DF3F1C">
        <w:trPr>
          <w:trHeight w:val="2524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</w:tcPr>
          <w:p w14:paraId="08769434" w14:textId="77777777" w:rsidR="00D95B0E" w:rsidRDefault="00D95B0E">
            <w:pPr>
              <w:spacing w:after="13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10993" w:type="dxa"/>
            <w:gridSpan w:val="3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</w:tcPr>
          <w:p w14:paraId="4820498F" w14:textId="77777777" w:rsidR="00D95B0E" w:rsidRDefault="00D95B0E">
            <w:pPr>
              <w:spacing w:after="13" w:line="259" w:lineRule="auto"/>
              <w:ind w:left="0" w:right="0" w:firstLine="0"/>
            </w:pPr>
            <w:r>
              <w:rPr>
                <w:b/>
                <w:sz w:val="20"/>
              </w:rPr>
              <w:t xml:space="preserve">Aim: Students to understand how to produce flexible budgets and budgeted final financial statements  </w:t>
            </w:r>
          </w:p>
          <w:p w14:paraId="19B2D568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19"/>
              </w:rPr>
            </w:pPr>
            <w:r>
              <w:rPr>
                <w:b/>
                <w:sz w:val="19"/>
              </w:rPr>
              <w:t>Topics covered:</w:t>
            </w:r>
          </w:p>
          <w:p w14:paraId="7CB1C42E" w14:textId="77777777" w:rsidR="00D95B0E" w:rsidRDefault="00D95B0E">
            <w:pPr>
              <w:spacing w:after="0" w:line="259" w:lineRule="auto"/>
              <w:ind w:left="0" w:right="0" w:firstLine="0"/>
            </w:pPr>
          </w:p>
          <w:p w14:paraId="4AC00AE7" w14:textId="77777777" w:rsidR="00D95B0E" w:rsidRDefault="00D95B0E">
            <w:pPr>
              <w:tabs>
                <w:tab w:val="center" w:pos="122"/>
                <w:tab w:val="center" w:pos="871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2.4 </w:t>
            </w:r>
            <w:r>
              <w:rPr>
                <w:b/>
                <w:sz w:val="19"/>
              </w:rPr>
              <w:tab/>
              <w:t xml:space="preserve">Budgeting  </w:t>
            </w:r>
          </w:p>
          <w:p w14:paraId="446F12DD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2.4.4 Budgeted Statement of comprehensive income and statement of financial position. </w:t>
            </w:r>
          </w:p>
          <w:p w14:paraId="7433850B" w14:textId="77777777" w:rsidR="00D95B0E" w:rsidRDefault="00D95B0E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>2.4.5 Flexible budgets for variations in activity level</w:t>
            </w:r>
          </w:p>
          <w:p w14:paraId="7783F240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1BF179D0" w14:textId="77777777" w:rsidR="00D95B0E" w:rsidRDefault="00D95B0E">
            <w:pPr>
              <w:spacing w:after="57" w:line="228" w:lineRule="auto"/>
              <w:ind w:left="0" w:right="6711" w:firstLine="0"/>
            </w:pPr>
            <w:r>
              <w:rPr>
                <w:sz w:val="19"/>
              </w:rPr>
              <w:t>Use of the following past papers  June 2014 Q4 (a)</w:t>
            </w:r>
          </w:p>
          <w:p w14:paraId="19DADE15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7C8683F9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Need to be able to evaluate flexible budgeting. </w:t>
            </w:r>
          </w:p>
        </w:tc>
      </w:tr>
    </w:tbl>
    <w:p w14:paraId="434B2B0B" w14:textId="77777777" w:rsidR="00F337BE" w:rsidRDefault="00F337BE">
      <w:pPr>
        <w:spacing w:after="0" w:line="259" w:lineRule="auto"/>
        <w:ind w:left="-992" w:right="10906" w:firstLine="0"/>
      </w:pPr>
    </w:p>
    <w:tbl>
      <w:tblPr>
        <w:tblStyle w:val="TableGrid"/>
        <w:tblW w:w="9911" w:type="dxa"/>
        <w:tblInd w:w="5" w:type="dxa"/>
        <w:tblCellMar>
          <w:top w:w="4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3994"/>
        <w:gridCol w:w="3994"/>
      </w:tblGrid>
      <w:tr w:rsidR="00F337BE" w14:paraId="73E4D5C1" w14:textId="77777777">
        <w:trPr>
          <w:trHeight w:val="1574"/>
        </w:trPr>
        <w:tc>
          <w:tcPr>
            <w:tcW w:w="1923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35BF0C2E" w14:textId="77777777" w:rsidR="00F337BE" w:rsidRDefault="00D86663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D95B0E">
              <w:rPr>
                <w:b/>
                <w:sz w:val="20"/>
              </w:rPr>
              <w:t>6</w:t>
            </w:r>
          </w:p>
          <w:p w14:paraId="7D43099D" w14:textId="77777777" w:rsidR="00226996" w:rsidRDefault="00226996">
            <w:pPr>
              <w:spacing w:after="0" w:line="259" w:lineRule="auto"/>
              <w:ind w:left="0" w:right="0" w:firstLine="0"/>
            </w:pPr>
          </w:p>
        </w:tc>
        <w:tc>
          <w:tcPr>
            <w:tcW w:w="3994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0FD4C220" w14:textId="77777777" w:rsidR="00D9181C" w:rsidRDefault="00D9181C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7028034A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Standard costing (1)</w:t>
            </w:r>
            <w:r w:rsidR="00D95B0E">
              <w:rPr>
                <w:b/>
                <w:sz w:val="20"/>
              </w:rPr>
              <w:t xml:space="preserve"> Revision</w:t>
            </w:r>
          </w:p>
        </w:tc>
        <w:tc>
          <w:tcPr>
            <w:tcW w:w="3994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A131A87" w14:textId="77777777" w:rsidR="00270901" w:rsidRDefault="00270901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59ED9591" w14:textId="77777777" w:rsidR="00F337BE" w:rsidRDefault="00270901" w:rsidP="00270901">
            <w:pPr>
              <w:spacing w:after="0" w:line="236" w:lineRule="auto"/>
              <w:ind w:left="0" w:right="743" w:firstLine="0"/>
            </w:pPr>
            <w:r>
              <w:rPr>
                <w:sz w:val="20"/>
              </w:rPr>
              <w:t xml:space="preserve">To understand </w:t>
            </w:r>
            <w:r w:rsidR="00F33BDF">
              <w:rPr>
                <w:sz w:val="20"/>
              </w:rPr>
              <w:t xml:space="preserve">The purpose of standard costing The stages in establishing a </w:t>
            </w:r>
            <w:proofErr w:type="gramStart"/>
            <w:r w:rsidR="00F33BDF">
              <w:rPr>
                <w:sz w:val="20"/>
              </w:rPr>
              <w:t>standard  costing</w:t>
            </w:r>
            <w:proofErr w:type="gramEnd"/>
            <w:r w:rsidR="00F33BDF">
              <w:rPr>
                <w:sz w:val="20"/>
              </w:rPr>
              <w:t xml:space="preserve"> system. </w:t>
            </w:r>
          </w:p>
          <w:p w14:paraId="0A8FC46E" w14:textId="77777777" w:rsidR="00F337BE" w:rsidRDefault="00F33BDF">
            <w:pPr>
              <w:spacing w:after="0" w:line="236" w:lineRule="auto"/>
              <w:ind w:left="0" w:right="0" w:firstLine="0"/>
            </w:pPr>
            <w:r>
              <w:rPr>
                <w:sz w:val="20"/>
              </w:rPr>
              <w:t xml:space="preserve">The collection of data from accounting records. </w:t>
            </w:r>
          </w:p>
          <w:p w14:paraId="486F60E4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Material variances</w:t>
            </w:r>
          </w:p>
        </w:tc>
      </w:tr>
      <w:tr w:rsidR="00F337BE" w14:paraId="4C8E1B8C" w14:textId="77777777">
        <w:trPr>
          <w:trHeight w:val="2969"/>
        </w:trPr>
        <w:tc>
          <w:tcPr>
            <w:tcW w:w="9911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2CE93F88" w14:textId="77777777" w:rsidR="00F337BE" w:rsidRDefault="00F33BDF">
            <w:pPr>
              <w:spacing w:after="0" w:line="251" w:lineRule="auto"/>
              <w:ind w:left="0" w:right="391" w:firstLine="0"/>
            </w:pPr>
            <w:r>
              <w:rPr>
                <w:b/>
                <w:sz w:val="20"/>
              </w:rPr>
              <w:t xml:space="preserve">Aim: Students to understand the purpose of and stages in establishing a standard costing system and how to collect data from accounting records and material variances </w:t>
            </w:r>
            <w:r>
              <w:rPr>
                <w:b/>
                <w:sz w:val="19"/>
              </w:rPr>
              <w:t xml:space="preserve">Topics covered: </w:t>
            </w:r>
          </w:p>
          <w:p w14:paraId="0B3705F9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2.5 Standard Costing </w:t>
            </w:r>
          </w:p>
          <w:p w14:paraId="58ECD275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2.5.1 The purpose of standard costing. </w:t>
            </w:r>
          </w:p>
          <w:p w14:paraId="1052CAC4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2.5.2 The stages in establishing a standard costing system.  </w:t>
            </w:r>
          </w:p>
          <w:p w14:paraId="53398922" w14:textId="77777777" w:rsidR="00F337BE" w:rsidRDefault="00F33BDF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 xml:space="preserve">2.5.3 The collection of data from accounting records. Variances – material </w:t>
            </w:r>
          </w:p>
          <w:p w14:paraId="614EC593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25FE8BA5" w14:textId="77777777" w:rsidR="00F337BE" w:rsidRDefault="00F33BDF">
            <w:pPr>
              <w:spacing w:after="57" w:line="228" w:lineRule="auto"/>
              <w:ind w:left="0" w:right="6458" w:firstLine="0"/>
            </w:pPr>
            <w:r>
              <w:rPr>
                <w:sz w:val="19"/>
              </w:rPr>
              <w:t>Use of the following past papers: January 2015 Q3 (a)SAM Q3 (a)</w:t>
            </w:r>
          </w:p>
          <w:p w14:paraId="313FFA5B" w14:textId="77777777" w:rsidR="00F337B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7E743E7C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Ensure formulas are learned.</w:t>
            </w:r>
          </w:p>
        </w:tc>
      </w:tr>
      <w:tr w:rsidR="00F337BE" w14:paraId="2F9A45DA" w14:textId="77777777">
        <w:trPr>
          <w:trHeight w:val="859"/>
        </w:trPr>
        <w:tc>
          <w:tcPr>
            <w:tcW w:w="1923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02C3B77C" w14:textId="77777777" w:rsidR="00F337BE" w:rsidRDefault="00D86663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D95B0E">
              <w:rPr>
                <w:b/>
                <w:sz w:val="20"/>
              </w:rPr>
              <w:t>7</w:t>
            </w:r>
          </w:p>
          <w:p w14:paraId="2962B98F" w14:textId="77777777" w:rsidR="00777429" w:rsidRDefault="00777429">
            <w:pPr>
              <w:spacing w:after="0" w:line="259" w:lineRule="auto"/>
              <w:ind w:left="0" w:right="0" w:firstLine="0"/>
            </w:pP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B756E8E" w14:textId="77777777" w:rsidR="00D9181C" w:rsidRDefault="00D9181C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731F12A0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Standard costing (2)</w:t>
            </w:r>
            <w:r w:rsidR="00D95B0E">
              <w:rPr>
                <w:b/>
                <w:sz w:val="20"/>
              </w:rPr>
              <w:t xml:space="preserve"> Revision</w:t>
            </w: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0A1A8A8D" w14:textId="77777777" w:rsidR="00270901" w:rsidRDefault="00270901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3741F19B" w14:textId="77777777" w:rsidR="00F337BE" w:rsidRDefault="00270901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 understand </w:t>
            </w:r>
            <w:r w:rsidR="00F33BDF">
              <w:rPr>
                <w:sz w:val="20"/>
              </w:rPr>
              <w:t xml:space="preserve">Variances – </w:t>
            </w:r>
            <w:proofErr w:type="spellStart"/>
            <w:r w:rsidR="00F33BDF">
              <w:rPr>
                <w:sz w:val="20"/>
              </w:rPr>
              <w:t>labour</w:t>
            </w:r>
            <w:proofErr w:type="spellEnd"/>
          </w:p>
          <w:p w14:paraId="77DE8B7E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Total fixed overhead variance, total variable overhead variance</w:t>
            </w:r>
          </w:p>
        </w:tc>
      </w:tr>
      <w:tr w:rsidR="00F337BE" w14:paraId="5ABB0E4D" w14:textId="77777777">
        <w:trPr>
          <w:trHeight w:val="2749"/>
        </w:trPr>
        <w:tc>
          <w:tcPr>
            <w:tcW w:w="9911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4C769762" w14:textId="77777777" w:rsidR="00F337BE" w:rsidRDefault="00F33BDF">
            <w:pPr>
              <w:spacing w:after="13" w:line="259" w:lineRule="auto"/>
              <w:ind w:left="0" w:right="0" w:firstLine="0"/>
            </w:pPr>
            <w:r>
              <w:rPr>
                <w:b/>
                <w:sz w:val="20"/>
              </w:rPr>
              <w:t xml:space="preserve">Aim: Students to understand variances in </w:t>
            </w:r>
            <w:proofErr w:type="spellStart"/>
            <w:r>
              <w:rPr>
                <w:b/>
                <w:sz w:val="20"/>
              </w:rPr>
              <w:t>labour</w:t>
            </w:r>
            <w:proofErr w:type="spellEnd"/>
            <w:r>
              <w:rPr>
                <w:b/>
                <w:sz w:val="20"/>
              </w:rPr>
              <w:t xml:space="preserve">, fixed overheads and variable overheads </w:t>
            </w:r>
          </w:p>
          <w:p w14:paraId="7C9A669C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Topics covered: </w:t>
            </w:r>
          </w:p>
          <w:p w14:paraId="4A5F70F9" w14:textId="77777777" w:rsidR="00F337BE" w:rsidRDefault="00F33BDF">
            <w:pPr>
              <w:tabs>
                <w:tab w:val="center" w:pos="122"/>
                <w:tab w:val="center" w:pos="1137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2.5 </w:t>
            </w:r>
            <w:r>
              <w:rPr>
                <w:b/>
                <w:sz w:val="19"/>
              </w:rPr>
              <w:tab/>
              <w:t xml:space="preserve">Standard costing </w:t>
            </w:r>
          </w:p>
          <w:p w14:paraId="4A7DD580" w14:textId="77777777" w:rsidR="00F337BE" w:rsidRDefault="00F33BDF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 xml:space="preserve">2.5.3 Variances – </w:t>
            </w:r>
            <w:proofErr w:type="spellStart"/>
            <w:r>
              <w:rPr>
                <w:sz w:val="19"/>
              </w:rPr>
              <w:t>labour</w:t>
            </w:r>
            <w:proofErr w:type="spellEnd"/>
            <w:r>
              <w:rPr>
                <w:sz w:val="19"/>
              </w:rPr>
              <w:t>, total fixed overhead variance, total variable overhead variance.</w:t>
            </w:r>
          </w:p>
          <w:p w14:paraId="58746F8F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05E8958C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Use of the following past papers: </w:t>
            </w:r>
          </w:p>
          <w:p w14:paraId="46BDD21B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Jun 2014 Q4 (b) and (c) </w:t>
            </w:r>
          </w:p>
          <w:p w14:paraId="7B324320" w14:textId="77777777" w:rsidR="00F337BE" w:rsidRDefault="00F33BDF">
            <w:pPr>
              <w:spacing w:after="57" w:line="228" w:lineRule="auto"/>
              <w:ind w:left="0" w:right="6504" w:firstLine="0"/>
            </w:pPr>
            <w:r>
              <w:rPr>
                <w:sz w:val="19"/>
              </w:rPr>
              <w:t>January 2015 Q3 (a) (b) (c) and (d) SAM Q3 (b)</w:t>
            </w:r>
          </w:p>
          <w:p w14:paraId="5246235A" w14:textId="77777777" w:rsidR="00F337B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67C70FEE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Ensure formulas are learnt.</w:t>
            </w:r>
          </w:p>
        </w:tc>
      </w:tr>
      <w:tr w:rsidR="00F337BE" w14:paraId="3DE40360" w14:textId="77777777">
        <w:trPr>
          <w:trHeight w:val="859"/>
        </w:trPr>
        <w:tc>
          <w:tcPr>
            <w:tcW w:w="1923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55208EF1" w14:textId="77777777" w:rsidR="00F337BE" w:rsidRDefault="00D86663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Week </w:t>
            </w:r>
            <w:r w:rsidR="00D95B0E">
              <w:rPr>
                <w:b/>
                <w:sz w:val="20"/>
              </w:rPr>
              <w:t>8</w:t>
            </w:r>
          </w:p>
          <w:p w14:paraId="5D188DC3" w14:textId="77777777" w:rsidR="00777429" w:rsidRDefault="00777429">
            <w:pPr>
              <w:spacing w:after="0" w:line="259" w:lineRule="auto"/>
              <w:ind w:left="0" w:right="0" w:firstLine="0"/>
            </w:pP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1203665B" w14:textId="77777777" w:rsidR="00D9181C" w:rsidRDefault="00D9181C">
            <w:pPr>
              <w:spacing w:after="0" w:line="259" w:lineRule="auto"/>
              <w:ind w:left="0" w:right="0" w:firstLine="0"/>
              <w:rPr>
                <w:b/>
                <w:color w:val="FF0000"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277A75D8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Standard Costing (3)</w:t>
            </w:r>
            <w:r w:rsidR="00D95B0E">
              <w:rPr>
                <w:b/>
                <w:sz w:val="20"/>
              </w:rPr>
              <w:t xml:space="preserve"> Revision</w:t>
            </w: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2007AF92" w14:textId="77777777" w:rsidR="00270901" w:rsidRDefault="00270901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61E72E2F" w14:textId="77777777" w:rsidR="00F337BE" w:rsidRDefault="00270901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 understand </w:t>
            </w:r>
            <w:r w:rsidR="00F33BDF">
              <w:rPr>
                <w:sz w:val="20"/>
              </w:rPr>
              <w:t xml:space="preserve">Reasons for variances </w:t>
            </w:r>
          </w:p>
          <w:p w14:paraId="7CE3991D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Interrelationships between variances </w:t>
            </w:r>
          </w:p>
          <w:p w14:paraId="4275D7C9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Management by exception </w:t>
            </w:r>
          </w:p>
        </w:tc>
      </w:tr>
      <w:tr w:rsidR="00F337BE" w14:paraId="39BE590A" w14:textId="77777777">
        <w:trPr>
          <w:trHeight w:val="3184"/>
        </w:trPr>
        <w:tc>
          <w:tcPr>
            <w:tcW w:w="9911" w:type="dxa"/>
            <w:gridSpan w:val="3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</w:tcPr>
          <w:p w14:paraId="6F624D0B" w14:textId="77777777" w:rsidR="00F337BE" w:rsidRDefault="00F33BDF">
            <w:pPr>
              <w:spacing w:after="57" w:line="216" w:lineRule="auto"/>
              <w:ind w:left="0" w:right="0" w:firstLine="0"/>
            </w:pPr>
            <w:r>
              <w:rPr>
                <w:b/>
                <w:sz w:val="20"/>
              </w:rPr>
              <w:t>Aim: Students to understand the reasons for variances and interrelationships between variances and management by exception</w:t>
            </w:r>
          </w:p>
          <w:p w14:paraId="293290AA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Topics covered: </w:t>
            </w:r>
          </w:p>
          <w:p w14:paraId="13E4925E" w14:textId="77777777" w:rsidR="00F337BE" w:rsidRDefault="00F33BDF">
            <w:pPr>
              <w:tabs>
                <w:tab w:val="center" w:pos="122"/>
                <w:tab w:val="center" w:pos="1137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2.5 </w:t>
            </w:r>
            <w:r>
              <w:rPr>
                <w:b/>
                <w:sz w:val="19"/>
              </w:rPr>
              <w:tab/>
              <w:t xml:space="preserve">Standard costing </w:t>
            </w:r>
          </w:p>
          <w:p w14:paraId="42CFD400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2.5.4 Reasons for variances </w:t>
            </w:r>
          </w:p>
          <w:p w14:paraId="3A04D227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2.5.5 Interrelationships between variances </w:t>
            </w:r>
          </w:p>
          <w:p w14:paraId="65FEE6F3" w14:textId="77777777" w:rsidR="00F337BE" w:rsidRDefault="00F33BDF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>2.5.6 The principle of management by exception to variance analysis</w:t>
            </w:r>
          </w:p>
          <w:p w14:paraId="7EEEEEBC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2F49A92B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Use of the following past papers: </w:t>
            </w:r>
          </w:p>
          <w:p w14:paraId="37EBAEAA" w14:textId="77777777" w:rsidR="00F337BE" w:rsidRDefault="00F33BDF">
            <w:pPr>
              <w:spacing w:after="57" w:line="228" w:lineRule="auto"/>
              <w:ind w:left="0" w:right="7407" w:firstLine="0"/>
            </w:pPr>
            <w:r>
              <w:rPr>
                <w:sz w:val="19"/>
              </w:rPr>
              <w:t>January 2015 Q3 (e) (f) SAM Q3 (c) and (d)</w:t>
            </w:r>
          </w:p>
          <w:p w14:paraId="679873A4" w14:textId="77777777" w:rsidR="00F337B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5E994A25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Students need to evaluate variances and performance of business.</w:t>
            </w:r>
          </w:p>
        </w:tc>
      </w:tr>
    </w:tbl>
    <w:p w14:paraId="566AA82D" w14:textId="77777777" w:rsidR="00F337BE" w:rsidRDefault="00F337BE">
      <w:pPr>
        <w:spacing w:after="0" w:line="259" w:lineRule="auto"/>
        <w:ind w:left="-992" w:right="10906" w:firstLine="0"/>
      </w:pPr>
    </w:p>
    <w:tbl>
      <w:tblPr>
        <w:tblStyle w:val="TableGrid"/>
        <w:tblW w:w="10206" w:type="dxa"/>
        <w:tblInd w:w="5" w:type="dxa"/>
        <w:tblCellMar>
          <w:top w:w="4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91"/>
        <w:gridCol w:w="2544"/>
        <w:gridCol w:w="3791"/>
        <w:gridCol w:w="3080"/>
      </w:tblGrid>
      <w:tr w:rsidR="00D95B0E" w14:paraId="58E316CA" w14:textId="77777777" w:rsidTr="00DF3F1C">
        <w:trPr>
          <w:trHeight w:val="614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54C2B47E" w14:textId="77777777" w:rsidR="00D95B0E" w:rsidRDefault="00D95B0E" w:rsidP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</w:p>
        </w:tc>
        <w:tc>
          <w:tcPr>
            <w:tcW w:w="3005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C932010" w14:textId="77777777" w:rsidR="00D95B0E" w:rsidRDefault="00D95B0E" w:rsidP="00D95B0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Week 9</w:t>
            </w:r>
          </w:p>
        </w:tc>
        <w:tc>
          <w:tcPr>
            <w:tcW w:w="3994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341DAEE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5078C37D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Project Appraisal (1) Revision</w:t>
            </w:r>
          </w:p>
        </w:tc>
        <w:tc>
          <w:tcPr>
            <w:tcW w:w="3994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3F062E2" w14:textId="77777777" w:rsidR="00D95B0E" w:rsidRDefault="00D95B0E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780E5516" w14:textId="77777777" w:rsidR="00D95B0E" w:rsidRDefault="00D95B0E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 understand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application of net present value and profitability index </w:t>
            </w:r>
          </w:p>
        </w:tc>
      </w:tr>
      <w:tr w:rsidR="00D95B0E" w14:paraId="2A728513" w14:textId="77777777" w:rsidTr="00DF3F1C">
        <w:trPr>
          <w:trHeight w:val="2749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1AEE2F82" w14:textId="77777777" w:rsidR="00D95B0E" w:rsidRDefault="00D95B0E">
            <w:pPr>
              <w:spacing w:after="13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10993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3EA145D3" w14:textId="77777777" w:rsidR="00D95B0E" w:rsidRDefault="00D95B0E">
            <w:pPr>
              <w:spacing w:after="13" w:line="259" w:lineRule="auto"/>
              <w:ind w:left="0" w:right="0" w:firstLine="0"/>
            </w:pPr>
            <w:r>
              <w:rPr>
                <w:b/>
                <w:sz w:val="20"/>
              </w:rPr>
              <w:t xml:space="preserve">Aim: Students to understand the application of net present value and profitability index </w:t>
            </w:r>
          </w:p>
          <w:p w14:paraId="4C0080F3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Topics covered: </w:t>
            </w:r>
          </w:p>
          <w:p w14:paraId="4A5FC730" w14:textId="77777777" w:rsidR="00D95B0E" w:rsidRDefault="00D95B0E">
            <w:pPr>
              <w:tabs>
                <w:tab w:val="center" w:pos="122"/>
                <w:tab w:val="center" w:pos="1150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2.6 </w:t>
            </w:r>
            <w:r>
              <w:rPr>
                <w:b/>
                <w:sz w:val="19"/>
              </w:rPr>
              <w:tab/>
              <w:t xml:space="preserve">Project Appraisal </w:t>
            </w:r>
          </w:p>
          <w:p w14:paraId="57695F44" w14:textId="77777777" w:rsidR="00D95B0E" w:rsidRDefault="00D95B0E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>2.6.1 The application of net present value and profitability index.</w:t>
            </w:r>
          </w:p>
          <w:p w14:paraId="0078A3F3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2F365880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January 2014 Q1 (a) </w:t>
            </w:r>
          </w:p>
          <w:p w14:paraId="52EDFB52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June 2014 Q7 (b) </w:t>
            </w:r>
          </w:p>
          <w:p w14:paraId="0ECF4F72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January 2015 Q6 (a) </w:t>
            </w:r>
          </w:p>
          <w:p w14:paraId="422791B2" w14:textId="77777777" w:rsidR="00D95B0E" w:rsidRDefault="00D95B0E">
            <w:pPr>
              <w:spacing w:after="0" w:line="286" w:lineRule="auto"/>
              <w:ind w:left="0" w:right="6745" w:firstLine="0"/>
            </w:pPr>
            <w:r>
              <w:rPr>
                <w:sz w:val="19"/>
              </w:rPr>
              <w:t>SAM Q1 (a) (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 xml:space="preserve">), (b) and (c) </w:t>
            </w:r>
            <w:r>
              <w:rPr>
                <w:b/>
                <w:sz w:val="19"/>
              </w:rPr>
              <w:t>Learning Outcome</w:t>
            </w:r>
          </w:p>
          <w:p w14:paraId="030D25DF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Ensure formulas are learned. Students need to evaluate the project.</w:t>
            </w:r>
          </w:p>
        </w:tc>
      </w:tr>
      <w:tr w:rsidR="00D95B0E" w14:paraId="0A9BF758" w14:textId="77777777" w:rsidTr="00DF3F1C">
        <w:trPr>
          <w:trHeight w:val="619"/>
        </w:trPr>
        <w:tc>
          <w:tcPr>
            <w:tcW w:w="841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0667F211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3005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5CBE1738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Week 10</w:t>
            </w:r>
          </w:p>
          <w:p w14:paraId="038D9D28" w14:textId="77777777" w:rsidR="00D95B0E" w:rsidRDefault="00D95B0E">
            <w:pPr>
              <w:spacing w:after="0" w:line="259" w:lineRule="auto"/>
              <w:ind w:left="0" w:right="0" w:firstLine="0"/>
            </w:pP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6AD2CAE4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33BE71FB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Project appraisal (2) Revision</w:t>
            </w: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2C278C6B" w14:textId="77777777" w:rsidR="00D95B0E" w:rsidRDefault="00D95B0E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04429D5F" w14:textId="77777777" w:rsidR="00D95B0E" w:rsidRDefault="00D95B0E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To understand Weighted average cost of capital. The application of internal rate of return</w:t>
            </w:r>
          </w:p>
        </w:tc>
      </w:tr>
      <w:tr w:rsidR="00D95B0E" w14:paraId="701795C9" w14:textId="77777777" w:rsidTr="00DF3F1C">
        <w:trPr>
          <w:trHeight w:val="3189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1C6C966E" w14:textId="77777777" w:rsidR="00D95B0E" w:rsidRDefault="00D95B0E">
            <w:pPr>
              <w:spacing w:after="0" w:line="251" w:lineRule="auto"/>
              <w:ind w:left="0" w:right="131" w:firstLine="0"/>
              <w:rPr>
                <w:b/>
                <w:sz w:val="20"/>
              </w:rPr>
            </w:pPr>
          </w:p>
        </w:tc>
        <w:tc>
          <w:tcPr>
            <w:tcW w:w="10993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0CD3BAED" w14:textId="77777777" w:rsidR="00D95B0E" w:rsidRDefault="00D95B0E">
            <w:pPr>
              <w:spacing w:after="0" w:line="251" w:lineRule="auto"/>
              <w:ind w:left="0" w:right="131" w:firstLine="0"/>
            </w:pPr>
            <w:r>
              <w:rPr>
                <w:b/>
                <w:sz w:val="20"/>
              </w:rPr>
              <w:t xml:space="preserve">Aim: Students to understand the calculation of the weighted average cost of capital and the application of internal rate of return </w:t>
            </w:r>
            <w:r>
              <w:rPr>
                <w:b/>
                <w:sz w:val="19"/>
              </w:rPr>
              <w:t xml:space="preserve">Topics covered: </w:t>
            </w:r>
          </w:p>
          <w:p w14:paraId="31B6DC15" w14:textId="77777777" w:rsidR="00D95B0E" w:rsidRDefault="00D95B0E">
            <w:pPr>
              <w:tabs>
                <w:tab w:val="center" w:pos="122"/>
                <w:tab w:val="center" w:pos="1150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2.6 </w:t>
            </w:r>
            <w:r>
              <w:rPr>
                <w:b/>
                <w:sz w:val="19"/>
              </w:rPr>
              <w:tab/>
              <w:t xml:space="preserve">Project Appraisal </w:t>
            </w:r>
          </w:p>
          <w:p w14:paraId="4F25DE21" w14:textId="77777777" w:rsidR="00D95B0E" w:rsidRDefault="00D95B0E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>2.6.1 The application of weighted average cost of capital and the internal rate of return.</w:t>
            </w:r>
          </w:p>
          <w:p w14:paraId="7AC78348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5304658E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Use of the following past papers: </w:t>
            </w:r>
          </w:p>
          <w:p w14:paraId="6AB8D0ED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January 2014 Q1 (c) </w:t>
            </w:r>
          </w:p>
          <w:p w14:paraId="4F33F3DB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June 2014 Q7 (b) </w:t>
            </w:r>
          </w:p>
          <w:p w14:paraId="171EF7A5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January 2015 Q6 (a) </w:t>
            </w:r>
          </w:p>
          <w:p w14:paraId="1A0F3BAD" w14:textId="77777777" w:rsidR="00D95B0E" w:rsidRDefault="00D95B0E">
            <w:pPr>
              <w:spacing w:after="0" w:line="286" w:lineRule="auto"/>
              <w:ind w:left="0" w:right="6789" w:firstLine="0"/>
            </w:pPr>
            <w:r>
              <w:rPr>
                <w:sz w:val="19"/>
              </w:rPr>
              <w:t>SAM Q1 (a) (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 xml:space="preserve">) (b) and (c) </w:t>
            </w:r>
            <w:r>
              <w:rPr>
                <w:b/>
                <w:sz w:val="19"/>
              </w:rPr>
              <w:t>Learning Outcome</w:t>
            </w:r>
          </w:p>
          <w:p w14:paraId="5571214E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Ensure formulas are learnt. Students need to evaluate the project.</w:t>
            </w:r>
          </w:p>
        </w:tc>
      </w:tr>
      <w:tr w:rsidR="00D95B0E" w14:paraId="45ADDAA9" w14:textId="77777777" w:rsidTr="00DF3F1C">
        <w:trPr>
          <w:trHeight w:val="619"/>
        </w:trPr>
        <w:tc>
          <w:tcPr>
            <w:tcW w:w="841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53DA21CD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3005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724F90F5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Week 11</w:t>
            </w:r>
          </w:p>
          <w:p w14:paraId="7178FEE3" w14:textId="77777777" w:rsidR="00D95B0E" w:rsidRDefault="00D95B0E">
            <w:pPr>
              <w:spacing w:after="0" w:line="259" w:lineRule="auto"/>
              <w:ind w:left="0" w:right="0" w:firstLine="0"/>
            </w:pP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9D73C48" w14:textId="77777777" w:rsidR="00D95B0E" w:rsidRDefault="00D95B0E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61306CB2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Project Appraisal (3) Revision</w:t>
            </w:r>
          </w:p>
        </w:tc>
        <w:tc>
          <w:tcPr>
            <w:tcW w:w="3994" w:type="dxa"/>
            <w:tcBorders>
              <w:top w:val="single" w:sz="8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19C6E100" w14:textId="77777777" w:rsidR="00D95B0E" w:rsidRDefault="00D95B0E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7DB28BE5" w14:textId="77777777" w:rsidR="00D95B0E" w:rsidRDefault="00D95B0E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 understand The application of average rate of </w:t>
            </w:r>
            <w:proofErr w:type="gramStart"/>
            <w:r>
              <w:rPr>
                <w:sz w:val="20"/>
              </w:rPr>
              <w:t>return,  and</w:t>
            </w:r>
            <w:proofErr w:type="gramEnd"/>
            <w:r>
              <w:rPr>
                <w:sz w:val="20"/>
              </w:rPr>
              <w:t xml:space="preserve"> payback period</w:t>
            </w:r>
          </w:p>
        </w:tc>
      </w:tr>
      <w:tr w:rsidR="00D95B0E" w14:paraId="0288EDBA" w14:textId="77777777" w:rsidTr="00DF3F1C">
        <w:trPr>
          <w:trHeight w:val="2744"/>
        </w:trPr>
        <w:tc>
          <w:tcPr>
            <w:tcW w:w="841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</w:tcPr>
          <w:p w14:paraId="39AA52A5" w14:textId="77777777" w:rsidR="00D95B0E" w:rsidRDefault="00D95B0E">
            <w:pPr>
              <w:spacing w:after="13" w:line="259" w:lineRule="auto"/>
              <w:ind w:left="0" w:right="0" w:firstLine="0"/>
              <w:rPr>
                <w:b/>
                <w:sz w:val="20"/>
              </w:rPr>
            </w:pPr>
          </w:p>
        </w:tc>
        <w:tc>
          <w:tcPr>
            <w:tcW w:w="10993" w:type="dxa"/>
            <w:gridSpan w:val="3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</w:tcPr>
          <w:p w14:paraId="56316832" w14:textId="77777777" w:rsidR="00D95B0E" w:rsidRDefault="00D95B0E">
            <w:pPr>
              <w:spacing w:after="13" w:line="259" w:lineRule="auto"/>
              <w:ind w:left="0" w:right="0" w:firstLine="0"/>
            </w:pPr>
            <w:r>
              <w:rPr>
                <w:b/>
                <w:sz w:val="20"/>
              </w:rPr>
              <w:t>Aim: Students to understand the applications of the non-discounted methods of project appraisal</w:t>
            </w:r>
          </w:p>
          <w:p w14:paraId="4077215A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Topics covered: </w:t>
            </w:r>
          </w:p>
          <w:p w14:paraId="354755B5" w14:textId="77777777" w:rsidR="00D95B0E" w:rsidRDefault="00D95B0E">
            <w:pPr>
              <w:tabs>
                <w:tab w:val="center" w:pos="122"/>
                <w:tab w:val="center" w:pos="1148"/>
              </w:tabs>
              <w:spacing w:after="0" w:line="259" w:lineRule="auto"/>
              <w:ind w:left="0" w:right="0" w:firstLine="0"/>
            </w:pPr>
            <w:r>
              <w:rPr>
                <w:color w:val="000000"/>
              </w:rPr>
              <w:tab/>
            </w:r>
            <w:r>
              <w:rPr>
                <w:b/>
                <w:sz w:val="19"/>
              </w:rPr>
              <w:t xml:space="preserve">2.6 </w:t>
            </w:r>
            <w:r>
              <w:rPr>
                <w:b/>
                <w:sz w:val="19"/>
              </w:rPr>
              <w:tab/>
              <w:t xml:space="preserve">Project appraisal </w:t>
            </w:r>
          </w:p>
          <w:p w14:paraId="0CAFDCB2" w14:textId="77777777" w:rsidR="00D95B0E" w:rsidRDefault="00D95B0E">
            <w:pPr>
              <w:spacing w:after="26" w:line="259" w:lineRule="auto"/>
              <w:ind w:left="0" w:right="0" w:firstLine="0"/>
            </w:pPr>
            <w:r>
              <w:rPr>
                <w:sz w:val="19"/>
              </w:rPr>
              <w:t>2.6.2 The application of average rate of return, and payback period.</w:t>
            </w:r>
          </w:p>
          <w:p w14:paraId="51B24745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3F64FB28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Use of the following past papers: </w:t>
            </w:r>
          </w:p>
          <w:p w14:paraId="20040640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January 2014 Q1 (b) </w:t>
            </w:r>
          </w:p>
          <w:p w14:paraId="55707B1F" w14:textId="77777777" w:rsidR="00D95B0E" w:rsidRDefault="00D95B0E">
            <w:pPr>
              <w:spacing w:after="57" w:line="228" w:lineRule="auto"/>
              <w:ind w:left="0" w:right="7927" w:firstLine="0"/>
            </w:pPr>
            <w:r>
              <w:rPr>
                <w:sz w:val="19"/>
              </w:rPr>
              <w:t>June 2014 Q7 (a) SAM Q1 (a) (ii)</w:t>
            </w:r>
          </w:p>
          <w:p w14:paraId="5730451A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71D7E569" w14:textId="77777777" w:rsidR="00D95B0E" w:rsidRDefault="00D95B0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Ensure formulas are learned. Students need to evaluate the project.</w:t>
            </w:r>
          </w:p>
        </w:tc>
      </w:tr>
    </w:tbl>
    <w:p w14:paraId="5A14A05B" w14:textId="77777777" w:rsidR="00F337BE" w:rsidRDefault="00F337BE">
      <w:pPr>
        <w:spacing w:after="0" w:line="259" w:lineRule="auto"/>
        <w:ind w:left="-992" w:right="10906" w:firstLine="0"/>
      </w:pPr>
    </w:p>
    <w:tbl>
      <w:tblPr>
        <w:tblStyle w:val="TableGrid"/>
        <w:tblW w:w="9911" w:type="dxa"/>
        <w:tblInd w:w="5" w:type="dxa"/>
        <w:tblCellMar>
          <w:top w:w="46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1923"/>
        <w:gridCol w:w="3994"/>
        <w:gridCol w:w="3994"/>
      </w:tblGrid>
      <w:tr w:rsidR="00F337BE" w14:paraId="25CEDAAA" w14:textId="77777777" w:rsidTr="00DF3F1C">
        <w:trPr>
          <w:trHeight w:val="1094"/>
        </w:trPr>
        <w:tc>
          <w:tcPr>
            <w:tcW w:w="1923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6458AE35" w14:textId="77777777" w:rsidR="00F337BE" w:rsidRDefault="00D86663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D95B0E">
              <w:rPr>
                <w:b/>
                <w:sz w:val="20"/>
              </w:rPr>
              <w:t>12</w:t>
            </w:r>
          </w:p>
          <w:p w14:paraId="39200E5B" w14:textId="77777777" w:rsidR="00777429" w:rsidRDefault="00777429">
            <w:pPr>
              <w:spacing w:after="0" w:line="259" w:lineRule="auto"/>
              <w:ind w:left="0" w:right="0" w:firstLine="0"/>
            </w:pPr>
          </w:p>
        </w:tc>
        <w:tc>
          <w:tcPr>
            <w:tcW w:w="3994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1DD39081" w14:textId="77777777" w:rsidR="00D9181C" w:rsidRDefault="00D9181C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Topic/Unit/Subunit:</w:t>
            </w:r>
          </w:p>
          <w:p w14:paraId="585B575D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>Break–even analysis (1)</w:t>
            </w:r>
            <w:r w:rsidR="00D95B0E">
              <w:rPr>
                <w:b/>
                <w:sz w:val="20"/>
              </w:rPr>
              <w:t xml:space="preserve"> Revision</w:t>
            </w:r>
          </w:p>
        </w:tc>
        <w:tc>
          <w:tcPr>
            <w:tcW w:w="3994" w:type="dxa"/>
            <w:tcBorders>
              <w:top w:val="single" w:sz="4" w:space="0" w:color="002654"/>
              <w:left w:val="single" w:sz="4" w:space="0" w:color="002654"/>
              <w:bottom w:val="single" w:sz="4" w:space="0" w:color="002654"/>
              <w:right w:val="single" w:sz="4" w:space="0" w:color="002654"/>
            </w:tcBorders>
            <w:shd w:val="clear" w:color="auto" w:fill="D3E4F5"/>
          </w:tcPr>
          <w:p w14:paraId="433374F5" w14:textId="77777777" w:rsidR="00270901" w:rsidRDefault="00270901" w:rsidP="00270901">
            <w:pPr>
              <w:spacing w:after="0" w:line="259" w:lineRule="auto"/>
              <w:ind w:left="0" w:right="241" w:firstLine="0"/>
              <w:rPr>
                <w:sz w:val="20"/>
              </w:rPr>
            </w:pPr>
            <w:r w:rsidRPr="009506E1">
              <w:rPr>
                <w:b/>
                <w:color w:val="FF0000"/>
                <w:sz w:val="20"/>
              </w:rPr>
              <w:t>Learning Objectives</w:t>
            </w:r>
            <w:r>
              <w:rPr>
                <w:b/>
                <w:color w:val="FF0000"/>
                <w:sz w:val="20"/>
              </w:rPr>
              <w:t>:</w:t>
            </w:r>
          </w:p>
          <w:p w14:paraId="281AC39B" w14:textId="77777777" w:rsidR="00F337BE" w:rsidRDefault="00270901" w:rsidP="0027090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To understand </w:t>
            </w:r>
            <w:r w:rsidR="00F33BDF">
              <w:rPr>
                <w:sz w:val="20"/>
              </w:rPr>
              <w:t>Calculation of fixed, semi-fixed, semi-variable, variable costs, selling price and net profit. Calculation of contribution, break-even point and margin of safety.</w:t>
            </w:r>
          </w:p>
        </w:tc>
      </w:tr>
      <w:tr w:rsidR="00F337BE" w14:paraId="41B43DBA" w14:textId="77777777" w:rsidTr="00DF3F1C">
        <w:trPr>
          <w:trHeight w:val="3189"/>
        </w:trPr>
        <w:tc>
          <w:tcPr>
            <w:tcW w:w="9911" w:type="dxa"/>
            <w:gridSpan w:val="3"/>
            <w:tcBorders>
              <w:top w:val="single" w:sz="4" w:space="0" w:color="002654"/>
              <w:left w:val="single" w:sz="4" w:space="0" w:color="002654"/>
              <w:bottom w:val="single" w:sz="8" w:space="0" w:color="002654"/>
              <w:right w:val="single" w:sz="4" w:space="0" w:color="002654"/>
            </w:tcBorders>
          </w:tcPr>
          <w:p w14:paraId="0BA77EEF" w14:textId="77777777" w:rsidR="00F337BE" w:rsidRDefault="00F33BDF">
            <w:pPr>
              <w:spacing w:after="13" w:line="259" w:lineRule="auto"/>
              <w:ind w:left="0" w:right="0" w:firstLine="0"/>
            </w:pPr>
            <w:r>
              <w:rPr>
                <w:b/>
                <w:sz w:val="20"/>
              </w:rPr>
              <w:t xml:space="preserve">Aim: Students to understand break-even analysis </w:t>
            </w:r>
          </w:p>
          <w:p w14:paraId="33BD3BC4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Topics covered: </w:t>
            </w:r>
          </w:p>
          <w:p w14:paraId="7DAA96BB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2.7. Break-even analysis </w:t>
            </w:r>
          </w:p>
          <w:p w14:paraId="14657D8C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2.7.1 Calculation of fixed, semi-fixed, semi-variable, variable costs, selling price and net profit. </w:t>
            </w:r>
          </w:p>
          <w:p w14:paraId="148E0FD8" w14:textId="77777777" w:rsidR="00F337BE" w:rsidRDefault="00F33BDF">
            <w:pPr>
              <w:spacing w:after="26" w:line="259" w:lineRule="auto"/>
              <w:ind w:left="0" w:right="0" w:firstLine="0"/>
            </w:pPr>
            <w:proofErr w:type="gramStart"/>
            <w:r>
              <w:rPr>
                <w:sz w:val="19"/>
              </w:rPr>
              <w:t>2.7.2  Calculation</w:t>
            </w:r>
            <w:proofErr w:type="gramEnd"/>
            <w:r>
              <w:rPr>
                <w:sz w:val="19"/>
              </w:rPr>
              <w:t xml:space="preserve"> of contribution, break-even point and margin of safety.</w:t>
            </w:r>
          </w:p>
          <w:p w14:paraId="29029CD9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 xml:space="preserve">Suggested activities/resources: </w:t>
            </w:r>
          </w:p>
          <w:p w14:paraId="64480054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Use of the following past papers: </w:t>
            </w:r>
          </w:p>
          <w:p w14:paraId="39418C01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January 2014 Q5 (a) (b) (c) </w:t>
            </w:r>
          </w:p>
          <w:p w14:paraId="22A4D503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June 2014 Q6 (a) (b) </w:t>
            </w:r>
          </w:p>
          <w:p w14:paraId="288C94FB" w14:textId="77777777" w:rsidR="00F337BE" w:rsidRDefault="00F33BDF">
            <w:pPr>
              <w:spacing w:after="57" w:line="228" w:lineRule="auto"/>
              <w:ind w:left="0" w:right="7429" w:firstLine="0"/>
            </w:pPr>
            <w:r>
              <w:rPr>
                <w:sz w:val="19"/>
              </w:rPr>
              <w:t>January 2015 Q5 (a) (b) SAM Q6 (a) (b) (c)</w:t>
            </w:r>
          </w:p>
          <w:p w14:paraId="343C2033" w14:textId="77777777" w:rsidR="00F337BE" w:rsidRDefault="00D95B0E">
            <w:pPr>
              <w:spacing w:after="0" w:line="259" w:lineRule="auto"/>
              <w:ind w:left="0" w:right="0" w:firstLine="0"/>
            </w:pPr>
            <w:r>
              <w:rPr>
                <w:b/>
                <w:sz w:val="19"/>
              </w:rPr>
              <w:t>Learning Outcome</w:t>
            </w:r>
          </w:p>
          <w:p w14:paraId="01AC1528" w14:textId="77777777" w:rsidR="00F337BE" w:rsidRDefault="00F33BDF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Students need to show all workings clearly and use correct units.</w:t>
            </w:r>
          </w:p>
        </w:tc>
      </w:tr>
      <w:tr w:rsidR="00DF3F1C" w:rsidRPr="00BA504D" w14:paraId="0857ABD8" w14:textId="77777777" w:rsidTr="00DF3F1C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911" w:type="dxa"/>
            <w:gridSpan w:val="3"/>
          </w:tcPr>
          <w:p w14:paraId="7187F890" w14:textId="77777777" w:rsidR="00DF3F1C" w:rsidRPr="00BA504D" w:rsidRDefault="00DF3F1C" w:rsidP="008B714F">
            <w:pPr>
              <w:spacing w:after="0" w:line="259" w:lineRule="auto"/>
              <w:ind w:left="0" w:right="0" w:firstLine="0"/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</w:pPr>
          </w:p>
        </w:tc>
      </w:tr>
      <w:tr w:rsidR="00DF3F1C" w:rsidRPr="00BA504D" w14:paraId="7E9A3374" w14:textId="77777777" w:rsidTr="00DF3F1C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911" w:type="dxa"/>
            <w:gridSpan w:val="3"/>
          </w:tcPr>
          <w:p w14:paraId="3A5679DB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</w:pPr>
            <w:r w:rsidRPr="00BA504D"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  <w:t>Assessment Platforms:</w:t>
            </w:r>
          </w:p>
          <w:p w14:paraId="228D8760" w14:textId="6ED5C017" w:rsidR="00DF3F1C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Dugga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Assessments</w:t>
            </w:r>
          </w:p>
          <w:p w14:paraId="2A8F25EC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Exam.net, </w:t>
            </w:r>
          </w:p>
          <w:p w14:paraId="50AEA37A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Google Form, </w:t>
            </w:r>
          </w:p>
          <w:p w14:paraId="56C269DE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Ms. Teams, </w:t>
            </w:r>
          </w:p>
          <w:p w14:paraId="7B644EB9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OneNote, Padlet, </w:t>
            </w:r>
          </w:p>
          <w:p w14:paraId="522D10AF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Kahoot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5E5DE9F" w14:textId="77777777" w:rsidR="00DF3F1C" w:rsidRPr="00BA504D" w:rsidRDefault="00DF3F1C" w:rsidP="008B714F">
            <w:pPr>
              <w:spacing w:after="0" w:line="259" w:lineRule="auto"/>
              <w:ind w:left="0" w:right="0" w:firstLine="0"/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</w:pPr>
            <w:r>
              <w:rPr>
                <w:rFonts w:cstheme="minorHAnsi"/>
                <w:sz w:val="20"/>
                <w:szCs w:val="20"/>
              </w:rPr>
              <w:t>Quizzes etc.</w:t>
            </w:r>
          </w:p>
        </w:tc>
      </w:tr>
      <w:tr w:rsidR="00DF3F1C" w:rsidRPr="00BA504D" w14:paraId="41962FC7" w14:textId="77777777" w:rsidTr="00DF3F1C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9911" w:type="dxa"/>
            <w:gridSpan w:val="3"/>
          </w:tcPr>
          <w:p w14:paraId="7CB4E418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</w:pPr>
            <w:r w:rsidRPr="00BA504D"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  <w:t>21</w:t>
            </w:r>
            <w:r w:rsidRPr="00BA504D">
              <w:rPr>
                <w:b/>
                <w:bCs/>
                <w:color w:val="FFFFFF" w:themeColor="background1"/>
                <w:sz w:val="40"/>
                <w:szCs w:val="40"/>
                <w:highlight w:val="darkGreen"/>
                <w:vertAlign w:val="superscript"/>
              </w:rPr>
              <w:t>st</w:t>
            </w:r>
            <w:r w:rsidRPr="00BA504D"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  <w:t xml:space="preserve"> Century Skills</w:t>
            </w:r>
          </w:p>
          <w:p w14:paraId="429F6FC5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b/>
                <w:bCs/>
                <w:color w:val="FFFFFF" w:themeColor="background1"/>
                <w:sz w:val="24"/>
                <w:szCs w:val="24"/>
                <w:highlight w:val="darkGreen"/>
              </w:rPr>
            </w:pPr>
          </w:p>
          <w:p w14:paraId="798FA690" w14:textId="77777777" w:rsidR="00DF3F1C" w:rsidRDefault="00DF3F1C" w:rsidP="008B714F">
            <w:pPr>
              <w:rPr>
                <w:rFonts w:cstheme="minorHAnsi"/>
                <w:sz w:val="20"/>
                <w:szCs w:val="20"/>
              </w:rPr>
            </w:pPr>
            <w:r w:rsidRPr="00EB10EF">
              <w:rPr>
                <w:rFonts w:cstheme="minorHAnsi"/>
                <w:sz w:val="20"/>
                <w:szCs w:val="20"/>
              </w:rPr>
              <w:t xml:space="preserve">Collaboration, </w:t>
            </w:r>
          </w:p>
          <w:p w14:paraId="16F5E5E4" w14:textId="77777777" w:rsidR="00DF3F1C" w:rsidRPr="00EB10EF" w:rsidRDefault="00DF3F1C" w:rsidP="008B714F">
            <w:pPr>
              <w:rPr>
                <w:rFonts w:cstheme="minorHAnsi"/>
                <w:sz w:val="20"/>
                <w:szCs w:val="20"/>
              </w:rPr>
            </w:pPr>
            <w:r w:rsidRPr="00EB10EF">
              <w:rPr>
                <w:rFonts w:cstheme="minorHAnsi"/>
                <w:sz w:val="20"/>
                <w:szCs w:val="20"/>
              </w:rPr>
              <w:t>Critical Thinking,</w:t>
            </w:r>
          </w:p>
          <w:p w14:paraId="72810DCD" w14:textId="77777777" w:rsidR="00DF3F1C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r w:rsidRPr="00EB10EF">
              <w:rPr>
                <w:rFonts w:cstheme="minorHAnsi"/>
                <w:sz w:val="20"/>
                <w:szCs w:val="20"/>
              </w:rPr>
              <w:t>Communication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BFB7798" w14:textId="77777777" w:rsidR="00DF3F1C" w:rsidRPr="00BA504D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r w:rsidRPr="00BA504D">
              <w:rPr>
                <w:rFonts w:cstheme="minorHAnsi"/>
                <w:sz w:val="20"/>
                <w:szCs w:val="20"/>
              </w:rPr>
              <w:t>Creativity</w:t>
            </w:r>
          </w:p>
          <w:p w14:paraId="5927E174" w14:textId="77777777" w:rsidR="00DF3F1C" w:rsidRPr="0087472E" w:rsidRDefault="00DF3F1C" w:rsidP="008B714F">
            <w:pPr>
              <w:spacing w:after="0" w:line="259" w:lineRule="auto"/>
              <w:ind w:left="0" w:right="0" w:firstLine="0"/>
              <w:rPr>
                <w:rFonts w:cstheme="minorHAnsi"/>
                <w:sz w:val="20"/>
                <w:szCs w:val="20"/>
              </w:rPr>
            </w:pPr>
            <w:r w:rsidRPr="0087472E">
              <w:rPr>
                <w:rFonts w:cstheme="minorHAnsi"/>
                <w:sz w:val="20"/>
                <w:szCs w:val="20"/>
              </w:rPr>
              <w:t>Entrepreneurship</w:t>
            </w:r>
          </w:p>
          <w:p w14:paraId="6A00F3CF" w14:textId="77777777" w:rsidR="00DF3F1C" w:rsidRPr="00BA504D" w:rsidRDefault="00DF3F1C" w:rsidP="008B714F">
            <w:pPr>
              <w:spacing w:after="0" w:line="259" w:lineRule="auto"/>
              <w:ind w:left="0" w:right="0" w:firstLine="0"/>
              <w:rPr>
                <w:bCs/>
                <w:color w:val="000000" w:themeColor="text1"/>
                <w:sz w:val="24"/>
                <w:szCs w:val="24"/>
                <w:highlight w:val="darkGreen"/>
              </w:rPr>
            </w:pPr>
          </w:p>
        </w:tc>
      </w:tr>
      <w:tr w:rsidR="00DF3F1C" w:rsidRPr="00BA504D" w14:paraId="124B9432" w14:textId="77777777" w:rsidTr="00DF3F1C">
        <w:tblPrEx>
          <w:tblCellMar>
            <w:top w:w="0" w:type="dxa"/>
            <w:left w:w="0" w:type="dxa"/>
            <w:right w:w="0" w:type="dxa"/>
          </w:tblCellMar>
        </w:tblPrEx>
        <w:trPr>
          <w:trHeight w:val="1278"/>
        </w:trPr>
        <w:tc>
          <w:tcPr>
            <w:tcW w:w="9911" w:type="dxa"/>
            <w:gridSpan w:val="3"/>
          </w:tcPr>
          <w:p w14:paraId="04823583" w14:textId="0EDBBBB7" w:rsidR="00DF3F1C" w:rsidRPr="00BA504D" w:rsidRDefault="00DF3F1C" w:rsidP="008B714F">
            <w:pPr>
              <w:spacing w:after="0" w:line="259" w:lineRule="auto"/>
              <w:ind w:left="0" w:right="0" w:firstLine="0"/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  <w:t>End of Term Reflection</w:t>
            </w:r>
          </w:p>
        </w:tc>
      </w:tr>
    </w:tbl>
    <w:p w14:paraId="3AB0EA21" w14:textId="77777777" w:rsidR="00F337BE" w:rsidRDefault="00F337BE" w:rsidP="00D17CEA">
      <w:pPr>
        <w:pStyle w:val="Heading1"/>
        <w:ind w:left="0" w:firstLine="0"/>
      </w:pPr>
    </w:p>
    <w:sectPr w:rsidR="00F337BE" w:rsidSect="00D86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0" w:right="1061" w:bottom="2650" w:left="992" w:header="72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E4BC" w14:textId="77777777" w:rsidR="00984633" w:rsidRDefault="00984633">
      <w:pPr>
        <w:spacing w:after="0" w:line="240" w:lineRule="auto"/>
      </w:pPr>
      <w:r>
        <w:separator/>
      </w:r>
    </w:p>
  </w:endnote>
  <w:endnote w:type="continuationSeparator" w:id="0">
    <w:p w14:paraId="30A64EDC" w14:textId="77777777" w:rsidR="00984633" w:rsidRDefault="009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3D88" w14:textId="77777777" w:rsidR="00D9181C" w:rsidRDefault="00D9181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2259" w14:textId="77777777" w:rsidR="00D9181C" w:rsidRDefault="00D9181C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E027" w14:textId="77777777" w:rsidR="00D9181C" w:rsidRDefault="00D9181C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A7C3C" w14:textId="77777777" w:rsidR="00984633" w:rsidRDefault="00984633">
      <w:pPr>
        <w:spacing w:after="0" w:line="240" w:lineRule="auto"/>
      </w:pPr>
      <w:r>
        <w:separator/>
      </w:r>
    </w:p>
  </w:footnote>
  <w:footnote w:type="continuationSeparator" w:id="0">
    <w:p w14:paraId="6E078C72" w14:textId="77777777" w:rsidR="00984633" w:rsidRDefault="009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EA02" w14:textId="77777777" w:rsidR="00D9181C" w:rsidRDefault="00D9181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3558" w14:textId="77777777" w:rsidR="00D9181C" w:rsidRDefault="00D9181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D203" w14:textId="77777777" w:rsidR="00D9181C" w:rsidRDefault="00D9181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EAE"/>
    <w:multiLevelType w:val="hybridMultilevel"/>
    <w:tmpl w:val="41A2445A"/>
    <w:lvl w:ilvl="0" w:tplc="84320FD2">
      <w:start w:val="1"/>
      <w:numFmt w:val="bullet"/>
      <w:lvlText w:val=""/>
      <w:lvlJc w:val="left"/>
      <w:pPr>
        <w:ind w:left="227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9602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9C36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F86A6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382F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662E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ACB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AC75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1252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22ECF"/>
    <w:multiLevelType w:val="hybridMultilevel"/>
    <w:tmpl w:val="E0C80480"/>
    <w:lvl w:ilvl="0" w:tplc="F3B6552C">
      <w:start w:val="1"/>
      <w:numFmt w:val="bullet"/>
      <w:lvlText w:val="–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1607CA">
      <w:start w:val="1"/>
      <w:numFmt w:val="bullet"/>
      <w:lvlText w:val="o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A1724">
      <w:start w:val="1"/>
      <w:numFmt w:val="bullet"/>
      <w:lvlText w:val="▪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AD924">
      <w:start w:val="1"/>
      <w:numFmt w:val="bullet"/>
      <w:lvlText w:val="•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25432">
      <w:start w:val="1"/>
      <w:numFmt w:val="bullet"/>
      <w:lvlText w:val="o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C673E">
      <w:start w:val="1"/>
      <w:numFmt w:val="bullet"/>
      <w:lvlText w:val="▪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025E0">
      <w:start w:val="1"/>
      <w:numFmt w:val="bullet"/>
      <w:lvlText w:val="•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46CD2">
      <w:start w:val="1"/>
      <w:numFmt w:val="bullet"/>
      <w:lvlText w:val="o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A6FE6">
      <w:start w:val="1"/>
      <w:numFmt w:val="bullet"/>
      <w:lvlText w:val="▪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27FBD"/>
    <w:multiLevelType w:val="hybridMultilevel"/>
    <w:tmpl w:val="953A4F7C"/>
    <w:lvl w:ilvl="0" w:tplc="AAAACFEC">
      <w:start w:val="1"/>
      <w:numFmt w:val="bullet"/>
      <w:lvlText w:val="–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ABC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EE934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2F29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0D0A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DEF4A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2FCCE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FC4C74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069C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D3F69"/>
    <w:multiLevelType w:val="hybridMultilevel"/>
    <w:tmpl w:val="D2CA4C58"/>
    <w:lvl w:ilvl="0" w:tplc="622A809E">
      <w:start w:val="1"/>
      <w:numFmt w:val="decimal"/>
      <w:lvlText w:val="%1.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0E6EB3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8610A2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6BEBB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A0BCB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7889F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1E680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796786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B6C9AD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933416"/>
    <w:multiLevelType w:val="hybridMultilevel"/>
    <w:tmpl w:val="FC3AC91E"/>
    <w:lvl w:ilvl="0" w:tplc="418848CC">
      <w:start w:val="1"/>
      <w:numFmt w:val="bullet"/>
      <w:lvlText w:val="–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E8E44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854B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2FBA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90F78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5B1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6232D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0102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6995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B3D02"/>
    <w:multiLevelType w:val="hybridMultilevel"/>
    <w:tmpl w:val="4E6CE93A"/>
    <w:lvl w:ilvl="0" w:tplc="DDD2598E">
      <w:start w:val="1"/>
      <w:numFmt w:val="bullet"/>
      <w:lvlText w:val=""/>
      <w:lvlJc w:val="left"/>
      <w:pPr>
        <w:ind w:left="227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CA311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EA651C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42E80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A0F594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68185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785604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C248E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4454A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FA09B7"/>
    <w:multiLevelType w:val="hybridMultilevel"/>
    <w:tmpl w:val="BB928A1C"/>
    <w:lvl w:ilvl="0" w:tplc="E43E9D94">
      <w:start w:val="1"/>
      <w:numFmt w:val="decimal"/>
      <w:lvlText w:val="%1.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9007B3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9BC70C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7E6294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4A2F5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94163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A5CAE1E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2E878E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FEF66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1A776B"/>
    <w:multiLevelType w:val="hybridMultilevel"/>
    <w:tmpl w:val="4154C4CE"/>
    <w:lvl w:ilvl="0" w:tplc="87203E54">
      <w:start w:val="1"/>
      <w:numFmt w:val="bullet"/>
      <w:lvlText w:val="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1628E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38FF4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5AF6B0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9227D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8A17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D813B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D26AD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A893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56D29"/>
    <w:multiLevelType w:val="hybridMultilevel"/>
    <w:tmpl w:val="3560F572"/>
    <w:lvl w:ilvl="0" w:tplc="DBDE6C98">
      <w:start w:val="1"/>
      <w:numFmt w:val="bullet"/>
      <w:lvlText w:val="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6EE95E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6A39C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AAA3D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A8481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D04FE6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AF5A0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4E7B1A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4EB53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8C52A7"/>
    <w:multiLevelType w:val="hybridMultilevel"/>
    <w:tmpl w:val="43E4DEB2"/>
    <w:lvl w:ilvl="0" w:tplc="E6A4C9C6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B0CC">
      <w:start w:val="6"/>
      <w:numFmt w:val="upperLetter"/>
      <w:lvlText w:val="%2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C746">
      <w:start w:val="1"/>
      <w:numFmt w:val="lowerRoman"/>
      <w:lvlText w:val="%3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2D28C">
      <w:start w:val="1"/>
      <w:numFmt w:val="decimal"/>
      <w:lvlText w:val="%4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32FF0A">
      <w:start w:val="1"/>
      <w:numFmt w:val="lowerLetter"/>
      <w:lvlText w:val="%5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6DB04">
      <w:start w:val="1"/>
      <w:numFmt w:val="lowerRoman"/>
      <w:lvlText w:val="%6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20842">
      <w:start w:val="1"/>
      <w:numFmt w:val="decimal"/>
      <w:lvlText w:val="%7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8E642">
      <w:start w:val="1"/>
      <w:numFmt w:val="lowerLetter"/>
      <w:lvlText w:val="%8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44D5E">
      <w:start w:val="1"/>
      <w:numFmt w:val="lowerRoman"/>
      <w:lvlText w:val="%9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AF6873"/>
    <w:multiLevelType w:val="hybridMultilevel"/>
    <w:tmpl w:val="B8E23D02"/>
    <w:lvl w:ilvl="0" w:tplc="D5B41300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4A004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B2896A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6C382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2CDAA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B7C5B9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1E658E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ECABEB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1201D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135239"/>
    <w:multiLevelType w:val="hybridMultilevel"/>
    <w:tmpl w:val="59826996"/>
    <w:lvl w:ilvl="0" w:tplc="1F7AFF32">
      <w:start w:val="1"/>
      <w:numFmt w:val="bullet"/>
      <w:lvlText w:val="–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A3FF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6D912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6CA4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6B7C4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0B3C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6A466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8A38CC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D0C4B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625743"/>
    <w:multiLevelType w:val="hybridMultilevel"/>
    <w:tmpl w:val="DC9617A8"/>
    <w:lvl w:ilvl="0" w:tplc="CB703588">
      <w:start w:val="1"/>
      <w:numFmt w:val="bullet"/>
      <w:lvlText w:val=""/>
      <w:lvlJc w:val="left"/>
      <w:pPr>
        <w:ind w:left="227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2809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BAA2F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CA40D6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FE8CA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ECCAE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F60C0C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E6FC2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9A3E4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2654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52544C"/>
    <w:multiLevelType w:val="hybridMultilevel"/>
    <w:tmpl w:val="6D3E547A"/>
    <w:lvl w:ilvl="0" w:tplc="3064DE56">
      <w:start w:val="1"/>
      <w:numFmt w:val="bullet"/>
      <w:lvlText w:val="–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44FCB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0338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87D40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BADB7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CC3D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EC49C4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005DC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6DF82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D33F0E"/>
    <w:multiLevelType w:val="hybridMultilevel"/>
    <w:tmpl w:val="7E946C30"/>
    <w:lvl w:ilvl="0" w:tplc="0C42A88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17281BE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027D82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3AB206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5E86D4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DC953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584FF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DCBB90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79CC480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265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E"/>
    <w:rsid w:val="00003292"/>
    <w:rsid w:val="0002104C"/>
    <w:rsid w:val="000830FD"/>
    <w:rsid w:val="00084E50"/>
    <w:rsid w:val="001014D8"/>
    <w:rsid w:val="001033EA"/>
    <w:rsid w:val="00107FDA"/>
    <w:rsid w:val="00226996"/>
    <w:rsid w:val="00270901"/>
    <w:rsid w:val="00324340"/>
    <w:rsid w:val="003553F9"/>
    <w:rsid w:val="00366335"/>
    <w:rsid w:val="003766D9"/>
    <w:rsid w:val="00440E34"/>
    <w:rsid w:val="004418BC"/>
    <w:rsid w:val="004603F5"/>
    <w:rsid w:val="00470E66"/>
    <w:rsid w:val="00476903"/>
    <w:rsid w:val="00497D27"/>
    <w:rsid w:val="004E559D"/>
    <w:rsid w:val="004F1290"/>
    <w:rsid w:val="00526899"/>
    <w:rsid w:val="00726DAD"/>
    <w:rsid w:val="00732CF6"/>
    <w:rsid w:val="00777429"/>
    <w:rsid w:val="007A31C4"/>
    <w:rsid w:val="007B6376"/>
    <w:rsid w:val="007E7212"/>
    <w:rsid w:val="0080277D"/>
    <w:rsid w:val="00804310"/>
    <w:rsid w:val="008C5EA8"/>
    <w:rsid w:val="008D5E54"/>
    <w:rsid w:val="008E7293"/>
    <w:rsid w:val="008F2D6A"/>
    <w:rsid w:val="009070A9"/>
    <w:rsid w:val="00984633"/>
    <w:rsid w:val="00993BCA"/>
    <w:rsid w:val="009A719B"/>
    <w:rsid w:val="00A21F56"/>
    <w:rsid w:val="00A65506"/>
    <w:rsid w:val="00A95D68"/>
    <w:rsid w:val="00B83501"/>
    <w:rsid w:val="00BF74A2"/>
    <w:rsid w:val="00C215D9"/>
    <w:rsid w:val="00D00527"/>
    <w:rsid w:val="00D17CEA"/>
    <w:rsid w:val="00D2121A"/>
    <w:rsid w:val="00D86663"/>
    <w:rsid w:val="00D9181C"/>
    <w:rsid w:val="00D95B0E"/>
    <w:rsid w:val="00DA2363"/>
    <w:rsid w:val="00DA4DA3"/>
    <w:rsid w:val="00DD3E83"/>
    <w:rsid w:val="00DF3F1C"/>
    <w:rsid w:val="00E76975"/>
    <w:rsid w:val="00E95EE5"/>
    <w:rsid w:val="00EF110C"/>
    <w:rsid w:val="00F337BE"/>
    <w:rsid w:val="00F33BDF"/>
    <w:rsid w:val="00FA65BA"/>
    <w:rsid w:val="00FC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C6097"/>
  <w15:docId w15:val="{D4DBADBF-0FF9-43DB-B305-8791436C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DA3"/>
    <w:pPr>
      <w:spacing w:after="145" w:line="248" w:lineRule="auto"/>
      <w:ind w:left="10" w:right="1532" w:hanging="10"/>
    </w:pPr>
    <w:rPr>
      <w:rFonts w:ascii="Calibri" w:eastAsia="Calibri" w:hAnsi="Calibri" w:cs="Calibri"/>
      <w:color w:val="002654"/>
    </w:rPr>
  </w:style>
  <w:style w:type="paragraph" w:styleId="Heading1">
    <w:name w:val="heading 1"/>
    <w:next w:val="Normal"/>
    <w:link w:val="Heading1Char"/>
    <w:uiPriority w:val="9"/>
    <w:unhideWhenUsed/>
    <w:qFormat/>
    <w:rsid w:val="00DA4DA3"/>
    <w:pPr>
      <w:keepNext/>
      <w:keepLines/>
      <w:spacing w:after="430"/>
      <w:ind w:left="290" w:hanging="10"/>
      <w:outlineLvl w:val="0"/>
    </w:pPr>
    <w:rPr>
      <w:rFonts w:ascii="Calibri" w:eastAsia="Calibri" w:hAnsi="Calibri" w:cs="Calibri"/>
      <w:b/>
      <w:color w:val="FFFFFF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A4DA3"/>
    <w:pPr>
      <w:keepNext/>
      <w:keepLines/>
      <w:spacing w:after="182"/>
      <w:ind w:left="662" w:hanging="10"/>
      <w:outlineLvl w:val="1"/>
    </w:pPr>
    <w:rPr>
      <w:rFonts w:ascii="Calibri" w:eastAsia="Calibri" w:hAnsi="Calibri" w:cs="Calibri"/>
      <w:b/>
      <w:color w:val="002654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A4DA3"/>
    <w:pPr>
      <w:keepNext/>
      <w:keepLines/>
      <w:spacing w:after="90" w:line="251" w:lineRule="auto"/>
      <w:ind w:left="2562" w:hanging="10"/>
      <w:outlineLvl w:val="2"/>
    </w:pPr>
    <w:rPr>
      <w:rFonts w:ascii="Calibri" w:eastAsia="Calibri" w:hAnsi="Calibri" w:cs="Calibri"/>
      <w:b/>
      <w:color w:val="00265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A4DA3"/>
    <w:rPr>
      <w:rFonts w:ascii="Calibri" w:eastAsia="Calibri" w:hAnsi="Calibri" w:cs="Calibri"/>
      <w:b/>
      <w:color w:val="002654"/>
      <w:sz w:val="26"/>
    </w:rPr>
  </w:style>
  <w:style w:type="character" w:customStyle="1" w:styleId="Heading1Char">
    <w:name w:val="Heading 1 Char"/>
    <w:link w:val="Heading1"/>
    <w:rsid w:val="00DA4DA3"/>
    <w:rPr>
      <w:rFonts w:ascii="Calibri" w:eastAsia="Calibri" w:hAnsi="Calibri" w:cs="Calibri"/>
      <w:b/>
      <w:color w:val="FFFFFF"/>
      <w:sz w:val="48"/>
    </w:rPr>
  </w:style>
  <w:style w:type="character" w:customStyle="1" w:styleId="Heading2Char">
    <w:name w:val="Heading 2 Char"/>
    <w:link w:val="Heading2"/>
    <w:rsid w:val="00DA4DA3"/>
    <w:rPr>
      <w:rFonts w:ascii="Calibri" w:eastAsia="Calibri" w:hAnsi="Calibri" w:cs="Calibri"/>
      <w:b/>
      <w:color w:val="002654"/>
      <w:sz w:val="32"/>
    </w:rPr>
  </w:style>
  <w:style w:type="table" w:customStyle="1" w:styleId="TableGrid">
    <w:name w:val="TableGrid"/>
    <w:rsid w:val="00DA4D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9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cp:lastModifiedBy>Microsoft Office User</cp:lastModifiedBy>
  <cp:revision>3</cp:revision>
  <cp:lastPrinted>2018-07-01T07:25:00Z</cp:lastPrinted>
  <dcterms:created xsi:type="dcterms:W3CDTF">2021-01-06T08:21:00Z</dcterms:created>
  <dcterms:modified xsi:type="dcterms:W3CDTF">2021-01-06T08:39:00Z</dcterms:modified>
</cp:coreProperties>
</file>